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B26B1" w:rsidRPr="000C2A5E" w:rsidRDefault="008D18E6" w:rsidP="001B26B1">
      <w:pPr>
        <w:shd w:val="clear" w:color="auto" w:fill="002060"/>
        <w:spacing w:after="0" w:line="240" w:lineRule="auto"/>
        <w:jc w:val="center"/>
        <w:rPr>
          <w:b/>
          <w:color w:val="FFC000"/>
          <w:sz w:val="36"/>
        </w:rPr>
      </w:pPr>
      <w:r>
        <w:rPr>
          <w:noProof/>
        </w:rPr>
        <w:drawing>
          <wp:anchor distT="0" distB="0" distL="114300" distR="114300" simplePos="0" relativeHeight="251659264" behindDoc="0" locked="0" layoutInCell="1" allowOverlap="1" wp14:anchorId="1EC14F1F" wp14:editId="79052416">
            <wp:simplePos x="0" y="0"/>
            <wp:positionH relativeFrom="margin">
              <wp:posOffset>-34120</wp:posOffset>
            </wp:positionH>
            <wp:positionV relativeFrom="paragraph">
              <wp:posOffset>-68618</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Head-Gold-150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1B26B1" w:rsidRPr="001B26B1">
        <w:rPr>
          <w:b/>
          <w:color w:val="FFC000"/>
          <w:sz w:val="36"/>
        </w:rPr>
        <w:t xml:space="preserve">TEXAS A&amp;M UNIVERSITY </w:t>
      </w:r>
      <w:r w:rsidR="001B26B1" w:rsidRPr="000C2A5E">
        <w:rPr>
          <w:b/>
          <w:color w:val="FFC000"/>
          <w:sz w:val="36"/>
        </w:rPr>
        <w:t>- COMMERCE</w:t>
      </w:r>
    </w:p>
    <w:p w:rsidR="007B4880" w:rsidRPr="001B26B1" w:rsidRDefault="004D3E55" w:rsidP="001B26B1">
      <w:pPr>
        <w:shd w:val="clear" w:color="auto" w:fill="002060"/>
        <w:spacing w:after="0" w:line="240" w:lineRule="auto"/>
        <w:jc w:val="center"/>
        <w:rPr>
          <w:b/>
          <w:color w:val="FFC000"/>
          <w:sz w:val="28"/>
          <w:u w:val="single"/>
        </w:rPr>
      </w:pPr>
      <w:r>
        <w:rPr>
          <w:b/>
          <w:color w:val="FFC000"/>
          <w:sz w:val="28"/>
          <w:u w:val="single"/>
        </w:rPr>
        <w:t>Hold Procedure</w:t>
      </w:r>
    </w:p>
    <w:p w:rsidR="00893B18" w:rsidRDefault="00893B18" w:rsidP="00513619">
      <w:pPr>
        <w:spacing w:after="0" w:line="240" w:lineRule="auto"/>
        <w:rPr>
          <w:u w:val="single"/>
        </w:rPr>
      </w:pPr>
    </w:p>
    <w:p w:rsidR="004D3E55" w:rsidRDefault="00336B6C" w:rsidP="004D3E55">
      <w:pPr>
        <w:spacing w:after="0"/>
        <w:rPr>
          <w:rFonts w:cstheme="minorHAnsi"/>
        </w:rPr>
      </w:pPr>
      <w:r w:rsidRPr="00336B6C">
        <w:rPr>
          <w:rFonts w:cstheme="minorHAnsi"/>
          <w:b/>
          <w:color w:val="002060"/>
          <w:u w:val="single"/>
        </w:rPr>
        <w:t>MANUAL REMOVAL</w:t>
      </w:r>
      <w:r w:rsidRPr="00336B6C">
        <w:rPr>
          <w:rFonts w:cstheme="minorHAnsi"/>
        </w:rPr>
        <w:br/>
      </w:r>
      <w:r w:rsidR="004D3E55" w:rsidRPr="004D3E55">
        <w:rPr>
          <w:rFonts w:cstheme="minorHAnsi"/>
        </w:rPr>
        <w:t>BSAs check the TSAAREV screen to check the students balance.  If the student doesn’t have outstanding charges and is verified to not be in collections by the WOAHOLD screen they will lift registration and transcript Fiscal holds.  These are the only two holds BSAs deal with.</w:t>
      </w:r>
    </w:p>
    <w:p w:rsidR="00336B6C" w:rsidRPr="004D3E55" w:rsidRDefault="00336B6C" w:rsidP="004D3E55">
      <w:pPr>
        <w:spacing w:after="0"/>
        <w:rPr>
          <w:rFonts w:cstheme="minorHAnsi"/>
        </w:rPr>
      </w:pPr>
    </w:p>
    <w:p w:rsidR="004D3E55" w:rsidRDefault="004D3E55" w:rsidP="00C24306">
      <w:pPr>
        <w:pStyle w:val="Heading2"/>
        <w:shd w:val="clear" w:color="auto" w:fill="DAEEF3" w:themeFill="accent5" w:themeFillTint="33"/>
        <w:jc w:val="center"/>
        <w:rPr>
          <w:rFonts w:asciiTheme="minorHAnsi" w:hAnsiTheme="minorHAnsi" w:cstheme="minorHAnsi"/>
          <w:color w:val="002060"/>
          <w:sz w:val="22"/>
          <w:szCs w:val="22"/>
        </w:rPr>
      </w:pPr>
      <w:bookmarkStart w:id="0" w:name="_Toc395606955"/>
      <w:bookmarkStart w:id="1" w:name="_Toc395607125"/>
      <w:r w:rsidRPr="00C24306">
        <w:rPr>
          <w:rFonts w:asciiTheme="minorHAnsi" w:hAnsiTheme="minorHAnsi" w:cstheme="minorHAnsi"/>
          <w:color w:val="002060"/>
          <w:sz w:val="22"/>
          <w:szCs w:val="22"/>
        </w:rPr>
        <w:t>BANNER HOLD STEPS</w:t>
      </w:r>
      <w:bookmarkEnd w:id="0"/>
      <w:bookmarkEnd w:id="1"/>
    </w:p>
    <w:p w:rsidR="00DB0E32" w:rsidRPr="00DB0E32" w:rsidRDefault="00DB0E32" w:rsidP="00DB0E32">
      <w:pPr>
        <w:spacing w:after="0"/>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612"/>
        <w:gridCol w:w="993"/>
        <w:gridCol w:w="9571"/>
      </w:tblGrid>
      <w:tr w:rsidR="004D3E55" w:rsidRPr="004D3E55" w:rsidTr="005E632C">
        <w:trPr>
          <w:cantSplit/>
          <w:trHeight w:val="501"/>
        </w:trPr>
        <w:tc>
          <w:tcPr>
            <w:tcW w:w="5000" w:type="pct"/>
            <w:gridSpan w:val="3"/>
            <w:vAlign w:val="center"/>
          </w:tcPr>
          <w:p w:rsidR="004D3E55" w:rsidRPr="004D3E55" w:rsidRDefault="00C24306" w:rsidP="005E632C">
            <w:pPr>
              <w:spacing w:after="0"/>
              <w:rPr>
                <w:rFonts w:cstheme="minorHAnsi"/>
                <w:b/>
              </w:rPr>
            </w:pPr>
            <w:r w:rsidRPr="00C24306">
              <w:rPr>
                <w:rFonts w:cstheme="minorHAnsi"/>
                <w:b/>
                <w:color w:val="002060"/>
              </w:rPr>
              <w:t xml:space="preserve">HOW TO ENTER AND REMOVE A HOLD:  </w:t>
            </w:r>
          </w:p>
        </w:tc>
      </w:tr>
      <w:tr w:rsidR="004D3E55" w:rsidRPr="004D3E55" w:rsidTr="004536E1">
        <w:trPr>
          <w:trHeight w:val="564"/>
        </w:trPr>
        <w:tc>
          <w:tcPr>
            <w:tcW w:w="991" w:type="pct"/>
            <w:shd w:val="clear" w:color="auto" w:fill="FFC000"/>
          </w:tcPr>
          <w:p w:rsidR="004D3E55" w:rsidRPr="00DB0E32" w:rsidRDefault="004D3E55" w:rsidP="00DB0E32">
            <w:pPr>
              <w:spacing w:after="0"/>
              <w:jc w:val="center"/>
              <w:rPr>
                <w:rFonts w:cstheme="minorHAnsi"/>
                <w:color w:val="002060"/>
              </w:rPr>
            </w:pPr>
          </w:p>
        </w:tc>
        <w:tc>
          <w:tcPr>
            <w:tcW w:w="377" w:type="pct"/>
            <w:shd w:val="clear" w:color="auto" w:fill="FFC000"/>
            <w:vAlign w:val="center"/>
          </w:tcPr>
          <w:p w:rsidR="004D3E55" w:rsidRPr="00DB0E32" w:rsidRDefault="00DB0E32" w:rsidP="004536E1">
            <w:pPr>
              <w:pStyle w:val="Heading1"/>
              <w:jc w:val="center"/>
              <w:rPr>
                <w:rFonts w:asciiTheme="minorHAnsi" w:hAnsiTheme="minorHAnsi" w:cstheme="minorHAnsi"/>
                <w:color w:val="002060"/>
                <w:sz w:val="22"/>
                <w:szCs w:val="22"/>
              </w:rPr>
            </w:pPr>
            <w:bookmarkStart w:id="3" w:name="_Toc395606956"/>
            <w:bookmarkStart w:id="4" w:name="_Toc395607126"/>
            <w:r w:rsidRPr="00DB0E32">
              <w:rPr>
                <w:rFonts w:asciiTheme="minorHAnsi" w:hAnsiTheme="minorHAnsi" w:cstheme="minorHAnsi"/>
                <w:color w:val="002060"/>
                <w:sz w:val="22"/>
                <w:szCs w:val="22"/>
              </w:rPr>
              <w:t>STEP</w:t>
            </w:r>
            <w:bookmarkEnd w:id="3"/>
            <w:bookmarkEnd w:id="4"/>
          </w:p>
        </w:tc>
        <w:tc>
          <w:tcPr>
            <w:tcW w:w="3632" w:type="pct"/>
            <w:shd w:val="clear" w:color="auto" w:fill="FFC000"/>
            <w:vAlign w:val="center"/>
          </w:tcPr>
          <w:p w:rsidR="004D3E55" w:rsidRPr="00DB0E32" w:rsidRDefault="00DB0E32" w:rsidP="004536E1">
            <w:pPr>
              <w:spacing w:after="0"/>
              <w:jc w:val="center"/>
              <w:rPr>
                <w:rFonts w:cstheme="minorHAnsi"/>
                <w:b/>
                <w:color w:val="002060"/>
              </w:rPr>
            </w:pPr>
            <w:r w:rsidRPr="00DB0E32">
              <w:rPr>
                <w:rFonts w:cstheme="minorHAnsi"/>
                <w:b/>
                <w:color w:val="002060"/>
              </w:rPr>
              <w:t>ACTION</w:t>
            </w:r>
          </w:p>
        </w:tc>
      </w:tr>
      <w:tr w:rsidR="004D3E55" w:rsidRPr="004D3E55" w:rsidTr="00DB0E32">
        <w:trPr>
          <w:trHeight w:val="960"/>
        </w:trPr>
        <w:tc>
          <w:tcPr>
            <w:tcW w:w="991" w:type="pct"/>
          </w:tcPr>
          <w:p w:rsidR="004D3E55" w:rsidRPr="00DB0E32" w:rsidRDefault="004D3E55" w:rsidP="00DB0E32">
            <w:pPr>
              <w:spacing w:after="0" w:line="240" w:lineRule="auto"/>
              <w:rPr>
                <w:b/>
                <w:i/>
                <w:color w:val="002060"/>
                <w:u w:val="single"/>
              </w:rPr>
            </w:pPr>
            <w:r w:rsidRPr="00DB0E32">
              <w:rPr>
                <w:b/>
                <w:i/>
                <w:color w:val="002060"/>
                <w:u w:val="single"/>
              </w:rPr>
              <w:t>ENTERING AND</w:t>
            </w:r>
            <w:r w:rsidR="00DB0E32">
              <w:rPr>
                <w:b/>
                <w:i/>
                <w:color w:val="002060"/>
                <w:u w:val="single"/>
              </w:rPr>
              <w:t xml:space="preserve"> </w:t>
            </w:r>
            <w:r w:rsidRPr="00DB0E32">
              <w:rPr>
                <w:b/>
                <w:i/>
                <w:color w:val="002060"/>
                <w:u w:val="single"/>
              </w:rPr>
              <w:t>SAVING A HOLD</w:t>
            </w: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DB0E32" w:rsidRDefault="004D3E55" w:rsidP="00DB0E32">
            <w:pPr>
              <w:spacing w:after="0" w:line="240" w:lineRule="auto"/>
              <w:rPr>
                <w:b/>
                <w:i/>
                <w:color w:val="002060"/>
                <w:u w:val="single"/>
              </w:rPr>
            </w:pPr>
          </w:p>
          <w:p w:rsidR="004D3E55" w:rsidRPr="004D3E55" w:rsidRDefault="004D3E55" w:rsidP="00DB0E32">
            <w:pPr>
              <w:spacing w:after="0" w:line="240" w:lineRule="auto"/>
            </w:pPr>
            <w:r w:rsidRPr="00DB0E32">
              <w:rPr>
                <w:b/>
                <w:i/>
                <w:color w:val="002060"/>
                <w:u w:val="single"/>
              </w:rPr>
              <w:t>REMOVING A HOLD</w:t>
            </w:r>
          </w:p>
        </w:tc>
        <w:tc>
          <w:tcPr>
            <w:tcW w:w="377" w:type="pct"/>
            <w:shd w:val="clear" w:color="auto" w:fill="002060"/>
          </w:tcPr>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1</w:t>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2</w:t>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3</w:t>
            </w:r>
            <w:r w:rsidRPr="00DB0E32">
              <w:rPr>
                <w:rFonts w:cstheme="minorHAnsi"/>
                <w:b/>
                <w:color w:val="FFFFFF" w:themeColor="background1"/>
              </w:rPr>
              <w:br/>
            </w:r>
            <w:r w:rsidRPr="00DB0E32">
              <w:rPr>
                <w:rFonts w:cstheme="minorHAnsi"/>
                <w:b/>
                <w:color w:val="FFFFFF" w:themeColor="background1"/>
              </w:rPr>
              <w:br/>
            </w:r>
            <w:r w:rsidRPr="00DB0E32">
              <w:rPr>
                <w:rFonts w:cstheme="minorHAnsi"/>
                <w:b/>
                <w:color w:val="FFFFFF" w:themeColor="background1"/>
              </w:rPr>
              <w:br/>
              <w:t>4</w:t>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5</w:t>
            </w:r>
            <w:r w:rsidRPr="00DB0E32">
              <w:rPr>
                <w:rFonts w:cstheme="minorHAnsi"/>
                <w:b/>
                <w:color w:val="FFFFFF" w:themeColor="background1"/>
              </w:rPr>
              <w:br/>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6</w:t>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7</w:t>
            </w:r>
            <w:r w:rsidRPr="00DB0E32">
              <w:rPr>
                <w:rFonts w:cstheme="minorHAnsi"/>
                <w:b/>
                <w:color w:val="FFFFFF" w:themeColor="background1"/>
              </w:rPr>
              <w:br/>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8</w:t>
            </w:r>
            <w:r w:rsidRPr="00DB0E32">
              <w:rPr>
                <w:rFonts w:cstheme="minorHAnsi"/>
                <w:b/>
                <w:color w:val="FFFFFF" w:themeColor="background1"/>
              </w:rPr>
              <w:br/>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9</w:t>
            </w:r>
            <w:r w:rsidRPr="00DB0E32">
              <w:rPr>
                <w:rFonts w:cstheme="minorHAnsi"/>
                <w:b/>
                <w:color w:val="FFFFFF" w:themeColor="background1"/>
              </w:rPr>
              <w:br/>
            </w:r>
            <w:r w:rsidRPr="00DB0E32">
              <w:rPr>
                <w:rFonts w:cstheme="minorHAnsi"/>
                <w:b/>
                <w:color w:val="FFFFFF" w:themeColor="background1"/>
              </w:rPr>
              <w:br/>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t xml:space="preserve">10 </w:t>
            </w:r>
          </w:p>
          <w:p w:rsidR="004D3E55" w:rsidRPr="00DB0E32" w:rsidRDefault="004D3E55" w:rsidP="004D3E55">
            <w:pPr>
              <w:spacing w:after="0"/>
              <w:rPr>
                <w:rFonts w:cstheme="minorHAnsi"/>
                <w:b/>
                <w:color w:val="FFFFFF" w:themeColor="background1"/>
              </w:rPr>
            </w:pPr>
            <w:r w:rsidRPr="00DB0E32">
              <w:rPr>
                <w:rFonts w:cstheme="minorHAnsi"/>
                <w:b/>
                <w:color w:val="FFFFFF" w:themeColor="background1"/>
              </w:rPr>
              <w:lastRenderedPageBreak/>
              <w:t>11</w:t>
            </w:r>
          </w:p>
        </w:tc>
        <w:tc>
          <w:tcPr>
            <w:tcW w:w="3632" w:type="pct"/>
          </w:tcPr>
          <w:p w:rsidR="004D3E55" w:rsidRPr="004D3E55" w:rsidRDefault="004D3E55" w:rsidP="004D3E55">
            <w:pPr>
              <w:spacing w:after="0"/>
              <w:rPr>
                <w:rFonts w:cstheme="minorHAnsi"/>
              </w:rPr>
            </w:pPr>
            <w:r w:rsidRPr="004D3E55">
              <w:rPr>
                <w:rFonts w:cstheme="minorHAnsi"/>
              </w:rPr>
              <w:lastRenderedPageBreak/>
              <w:t>Log in to Banner using your Username and Password</w:t>
            </w:r>
          </w:p>
          <w:p w:rsidR="004D3E55" w:rsidRPr="004D3E55" w:rsidRDefault="004D3E55" w:rsidP="004D3E55">
            <w:pPr>
              <w:spacing w:after="0"/>
              <w:rPr>
                <w:rFonts w:cstheme="minorHAnsi"/>
              </w:rPr>
            </w:pPr>
            <w:r w:rsidRPr="004D3E55">
              <w:rPr>
                <w:rFonts w:cstheme="minorHAnsi"/>
              </w:rPr>
              <w:t xml:space="preserve">Enter WOAHOLD in the “Go To…” box. </w:t>
            </w:r>
          </w:p>
          <w:p w:rsidR="004D3E55" w:rsidRPr="004D3E55" w:rsidRDefault="004D3E55" w:rsidP="004D3E55">
            <w:pPr>
              <w:spacing w:after="0"/>
              <w:rPr>
                <w:rFonts w:cstheme="minorHAnsi"/>
              </w:rPr>
            </w:pPr>
            <w:r w:rsidRPr="004D3E55">
              <w:rPr>
                <w:rFonts w:cstheme="minorHAnsi"/>
              </w:rPr>
              <w:t xml:space="preserve">Enter a Student ID or Name, and press Enter. This will bring up the student ID and name in the key block. </w:t>
            </w:r>
            <w:r w:rsidRPr="004D3E55">
              <w:rPr>
                <w:rFonts w:cstheme="minorHAnsi"/>
              </w:rPr>
              <w:br/>
            </w:r>
            <w:r w:rsidRPr="004D3E55">
              <w:rPr>
                <w:rFonts w:cstheme="minorHAnsi"/>
              </w:rPr>
              <w:br/>
              <w:t xml:space="preserve">Press Next Block (or Ctrl-Page Down). </w:t>
            </w:r>
          </w:p>
          <w:p w:rsidR="004D3E55" w:rsidRPr="004D3E55" w:rsidRDefault="004D3E55" w:rsidP="004D3E55">
            <w:pPr>
              <w:spacing w:after="0"/>
              <w:rPr>
                <w:rFonts w:cstheme="minorHAnsi"/>
              </w:rPr>
            </w:pPr>
            <w:r w:rsidRPr="004D3E55">
              <w:rPr>
                <w:rFonts w:cstheme="minorHAnsi"/>
              </w:rPr>
              <w:t>Enter Hold Type (if known); or press F9 or double click in the Hold Type box for a list of all available Hold Types</w:t>
            </w:r>
          </w:p>
          <w:p w:rsidR="004D3E55" w:rsidRPr="004D3E55" w:rsidRDefault="004D3E55" w:rsidP="004D3E55">
            <w:pPr>
              <w:spacing w:after="0"/>
              <w:rPr>
                <w:rFonts w:cstheme="minorHAnsi"/>
              </w:rPr>
            </w:pPr>
            <w:r w:rsidRPr="004D3E55">
              <w:rPr>
                <w:rFonts w:cstheme="minorHAnsi"/>
              </w:rPr>
              <w:t xml:space="preserve">Press TAB to move to the Reason box, and enter the hold reason. </w:t>
            </w:r>
          </w:p>
          <w:p w:rsidR="004D3E55" w:rsidRPr="004D3E55" w:rsidRDefault="004D3E55" w:rsidP="004D3E55">
            <w:pPr>
              <w:spacing w:after="0"/>
              <w:rPr>
                <w:rFonts w:cstheme="minorHAnsi"/>
              </w:rPr>
            </w:pPr>
            <w:r w:rsidRPr="004D3E55">
              <w:rPr>
                <w:rFonts w:cstheme="minorHAnsi"/>
              </w:rPr>
              <w:t xml:space="preserve">Press TAB to move to the Amount box, and enter the hold amount (if applicable). </w:t>
            </w:r>
          </w:p>
          <w:p w:rsidR="004D3E55" w:rsidRPr="004D3E55" w:rsidRDefault="004D3E55" w:rsidP="004D3E55">
            <w:pPr>
              <w:spacing w:after="0"/>
              <w:rPr>
                <w:rFonts w:cstheme="minorHAnsi"/>
              </w:rPr>
            </w:pPr>
            <w:r w:rsidRPr="004D3E55">
              <w:rPr>
                <w:rFonts w:cstheme="minorHAnsi"/>
              </w:rPr>
              <w:t xml:space="preserve">Click on the Release Indicator button in order to restrict hold release to your department only. </w:t>
            </w:r>
          </w:p>
          <w:p w:rsidR="004D3E55" w:rsidRPr="004D3E55" w:rsidRDefault="004D3E55" w:rsidP="004D3E55">
            <w:pPr>
              <w:spacing w:after="0"/>
              <w:rPr>
                <w:rFonts w:cstheme="minorHAnsi"/>
              </w:rPr>
            </w:pPr>
            <w:r w:rsidRPr="004D3E55">
              <w:rPr>
                <w:rFonts w:cstheme="minorHAnsi"/>
              </w:rPr>
              <w:t>Today’s date automatically populates in the From field, and 31-Dec-2099 (the end of time) defaults in the To field. The From and To dates may be updated if necessary.</w:t>
            </w:r>
          </w:p>
          <w:p w:rsidR="004D3E55" w:rsidRPr="004D3E55" w:rsidRDefault="004D3E55" w:rsidP="004D3E55">
            <w:pPr>
              <w:spacing w:after="0"/>
              <w:rPr>
                <w:rFonts w:cstheme="minorHAnsi"/>
              </w:rPr>
            </w:pPr>
            <w:r w:rsidRPr="004D3E55">
              <w:rPr>
                <w:rFonts w:cstheme="minorHAnsi"/>
              </w:rPr>
              <w:t xml:space="preserve">Enter FISC in the Origination Code box. </w:t>
            </w:r>
          </w:p>
          <w:p w:rsidR="004D3E55" w:rsidRPr="004D3E55" w:rsidRDefault="004D3E55" w:rsidP="004D3E55">
            <w:pPr>
              <w:spacing w:after="0"/>
              <w:rPr>
                <w:rFonts w:cstheme="minorHAnsi"/>
              </w:rPr>
            </w:pPr>
            <w:r w:rsidRPr="004D3E55">
              <w:rPr>
                <w:rFonts w:cstheme="minorHAnsi"/>
              </w:rPr>
              <w:t xml:space="preserve">Save the hold by clicking the disk icon near the top left of the Banner window. </w:t>
            </w:r>
          </w:p>
          <w:p w:rsidR="004D3E55" w:rsidRPr="004D3E55" w:rsidRDefault="004D3E55" w:rsidP="004D3E55">
            <w:pPr>
              <w:spacing w:after="0"/>
              <w:rPr>
                <w:rFonts w:cstheme="minorHAnsi"/>
              </w:rPr>
            </w:pPr>
            <w:r w:rsidRPr="004D3E55">
              <w:rPr>
                <w:rFonts w:cstheme="minorHAnsi"/>
              </w:rPr>
              <w:t>Follow steps 1-4 above</w:t>
            </w:r>
          </w:p>
          <w:p w:rsidR="004D3E55" w:rsidRPr="004D3E55" w:rsidRDefault="004D3E55" w:rsidP="004D3E55">
            <w:pPr>
              <w:spacing w:after="0"/>
              <w:rPr>
                <w:rFonts w:cstheme="minorHAnsi"/>
              </w:rPr>
            </w:pPr>
            <w:r w:rsidRPr="004D3E55">
              <w:rPr>
                <w:rFonts w:cstheme="minorHAnsi"/>
              </w:rPr>
              <w:t xml:space="preserve">Locate applicable hold entry and click on the correct hold to make it the active record. The record will be highlighted with a different background color to indicate that it is the active record. </w:t>
            </w:r>
          </w:p>
          <w:p w:rsidR="004D3E55" w:rsidRPr="004D3E55" w:rsidRDefault="004D3E55" w:rsidP="004D3E55">
            <w:pPr>
              <w:spacing w:after="0"/>
              <w:rPr>
                <w:rFonts w:cstheme="minorHAnsi"/>
              </w:rPr>
            </w:pPr>
            <w:r w:rsidRPr="004D3E55">
              <w:rPr>
                <w:rFonts w:cstheme="minorHAnsi"/>
              </w:rPr>
              <w:lastRenderedPageBreak/>
              <w:t xml:space="preserve">Enter today’s date in To field in DD-MON-YYYY format, or click on the calendar icon to select a date. </w:t>
            </w:r>
          </w:p>
          <w:p w:rsidR="004D3E55" w:rsidRPr="004D3E55" w:rsidRDefault="004D3E55" w:rsidP="004D3E55">
            <w:pPr>
              <w:spacing w:after="0"/>
              <w:rPr>
                <w:rFonts w:cstheme="minorHAnsi"/>
              </w:rPr>
            </w:pPr>
            <w:r w:rsidRPr="004D3E55">
              <w:rPr>
                <w:rFonts w:cstheme="minorHAnsi"/>
              </w:rPr>
              <w:t>Click the Save icon (F10); exit the form</w:t>
            </w:r>
            <w:r w:rsidRPr="004D3E55">
              <w:rPr>
                <w:rFonts w:cstheme="minorHAnsi"/>
              </w:rPr>
              <w:br/>
            </w:r>
          </w:p>
          <w:p w:rsidR="004D3E55" w:rsidRPr="00DB0E32" w:rsidRDefault="004D3E55" w:rsidP="00DB0E32">
            <w:pPr>
              <w:spacing w:after="0"/>
              <w:rPr>
                <w:rFonts w:cstheme="minorHAnsi"/>
              </w:rPr>
            </w:pPr>
            <w:r w:rsidRPr="004D3E55">
              <w:rPr>
                <w:rFonts w:cstheme="minorHAnsi"/>
                <w:b/>
              </w:rPr>
              <w:t>NOTE:</w:t>
            </w:r>
            <w:r w:rsidRPr="004D3E55">
              <w:rPr>
                <w:rFonts w:cstheme="minorHAnsi"/>
              </w:rPr>
              <w:t xml:space="preserve">  </w:t>
            </w:r>
            <w:r w:rsidRPr="004D3E55">
              <w:rPr>
                <w:rFonts w:cstheme="minorHAnsi"/>
                <w:i/>
              </w:rPr>
              <w:t>Do not use the “X” at the upper right of the screen at any time in Banner to exit!</w:t>
            </w:r>
          </w:p>
        </w:tc>
      </w:tr>
    </w:tbl>
    <w:p w:rsidR="003C4A44" w:rsidRPr="004D3E55" w:rsidRDefault="003C4A44" w:rsidP="004D3E55">
      <w:pPr>
        <w:spacing w:after="0" w:line="240" w:lineRule="auto"/>
        <w:jc w:val="both"/>
        <w:rPr>
          <w:rFonts w:cstheme="minorHAnsi"/>
        </w:rPr>
      </w:pPr>
    </w:p>
    <w:sectPr w:rsidR="003C4A44" w:rsidRPr="004D3E55" w:rsidSect="00342846">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91" w:rsidRDefault="006A2D91" w:rsidP="006A2D91">
      <w:pPr>
        <w:spacing w:after="0" w:line="240" w:lineRule="auto"/>
      </w:pPr>
      <w:r>
        <w:separator/>
      </w:r>
    </w:p>
  </w:endnote>
  <w:endnote w:type="continuationSeparator" w:id="0">
    <w:p w:rsidR="006A2D91" w:rsidRDefault="006A2D91" w:rsidP="006A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91" w:rsidRDefault="002C674C" w:rsidP="006A2D91">
    <w:pPr>
      <w:pStyle w:val="Footer"/>
      <w:jc w:val="right"/>
    </w:pPr>
    <w:r>
      <w:t xml:space="preserve">Updated: </w:t>
    </w:r>
    <w:r>
      <w:fldChar w:fldCharType="begin"/>
    </w:r>
    <w:r>
      <w:instrText xml:space="preserve"> SAVEDATE  \@ "M/d/yyyy h:mm am/pm"  \* MERGEFORMAT </w:instrText>
    </w:r>
    <w:r>
      <w:fldChar w:fldCharType="separate"/>
    </w:r>
    <w:r w:rsidR="004D3E55">
      <w:rPr>
        <w:noProof/>
      </w:rPr>
      <w:t>11/11/2022 10:39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91" w:rsidRDefault="006A2D91" w:rsidP="006A2D91">
      <w:pPr>
        <w:spacing w:after="0" w:line="240" w:lineRule="auto"/>
      </w:pPr>
      <w:r>
        <w:separator/>
      </w:r>
    </w:p>
  </w:footnote>
  <w:footnote w:type="continuationSeparator" w:id="0">
    <w:p w:rsidR="006A2D91" w:rsidRDefault="006A2D91" w:rsidP="006A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227"/>
    <w:multiLevelType w:val="hybridMultilevel"/>
    <w:tmpl w:val="4CB41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22636"/>
    <w:multiLevelType w:val="hybridMultilevel"/>
    <w:tmpl w:val="20F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6A3F"/>
    <w:multiLevelType w:val="hybridMultilevel"/>
    <w:tmpl w:val="92F43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F2CA1"/>
    <w:multiLevelType w:val="hybridMultilevel"/>
    <w:tmpl w:val="0CD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E37F0"/>
    <w:multiLevelType w:val="hybridMultilevel"/>
    <w:tmpl w:val="5AE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64647"/>
    <w:multiLevelType w:val="hybridMultilevel"/>
    <w:tmpl w:val="CDA0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51E95"/>
    <w:multiLevelType w:val="hybridMultilevel"/>
    <w:tmpl w:val="E514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9D"/>
    <w:rsid w:val="000002CF"/>
    <w:rsid w:val="00062C45"/>
    <w:rsid w:val="001B26B1"/>
    <w:rsid w:val="00204992"/>
    <w:rsid w:val="0022259E"/>
    <w:rsid w:val="00231FA9"/>
    <w:rsid w:val="002C674C"/>
    <w:rsid w:val="003205AC"/>
    <w:rsid w:val="00336B6C"/>
    <w:rsid w:val="00342846"/>
    <w:rsid w:val="003C4A44"/>
    <w:rsid w:val="00415B75"/>
    <w:rsid w:val="004520EF"/>
    <w:rsid w:val="004536E1"/>
    <w:rsid w:val="0047319D"/>
    <w:rsid w:val="00486D01"/>
    <w:rsid w:val="004B2C7D"/>
    <w:rsid w:val="004C41CA"/>
    <w:rsid w:val="004D3E55"/>
    <w:rsid w:val="004E0B4A"/>
    <w:rsid w:val="00504C9A"/>
    <w:rsid w:val="00513619"/>
    <w:rsid w:val="005E2F62"/>
    <w:rsid w:val="005E632C"/>
    <w:rsid w:val="00641A51"/>
    <w:rsid w:val="00686BD8"/>
    <w:rsid w:val="006A2D91"/>
    <w:rsid w:val="00745DA0"/>
    <w:rsid w:val="0075067C"/>
    <w:rsid w:val="00753DEF"/>
    <w:rsid w:val="007B4880"/>
    <w:rsid w:val="008851D3"/>
    <w:rsid w:val="00893B18"/>
    <w:rsid w:val="008D18E6"/>
    <w:rsid w:val="00914689"/>
    <w:rsid w:val="00A048F8"/>
    <w:rsid w:val="00A5723C"/>
    <w:rsid w:val="00B612E0"/>
    <w:rsid w:val="00C128A1"/>
    <w:rsid w:val="00C140F9"/>
    <w:rsid w:val="00C24306"/>
    <w:rsid w:val="00C6783C"/>
    <w:rsid w:val="00CD17C0"/>
    <w:rsid w:val="00D447B9"/>
    <w:rsid w:val="00DB0E32"/>
    <w:rsid w:val="00DC563E"/>
    <w:rsid w:val="00E04A7D"/>
    <w:rsid w:val="00E33113"/>
    <w:rsid w:val="00ED129D"/>
    <w:rsid w:val="00F87D9A"/>
    <w:rsid w:val="00FB011C"/>
    <w:rsid w:val="00FB3BF5"/>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95E012B"/>
  <w15:docId w15:val="{783C33F7-F8AA-442E-ADC5-0ADB4594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3E55"/>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4D3E55"/>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29D"/>
    <w:pPr>
      <w:ind w:left="720"/>
      <w:contextualSpacing/>
    </w:pPr>
  </w:style>
  <w:style w:type="paragraph" w:styleId="Header">
    <w:name w:val="header"/>
    <w:basedOn w:val="Normal"/>
    <w:link w:val="HeaderChar"/>
    <w:uiPriority w:val="99"/>
    <w:unhideWhenUsed/>
    <w:rsid w:val="006A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D91"/>
  </w:style>
  <w:style w:type="paragraph" w:styleId="Footer">
    <w:name w:val="footer"/>
    <w:basedOn w:val="Normal"/>
    <w:link w:val="FooterChar"/>
    <w:uiPriority w:val="99"/>
    <w:unhideWhenUsed/>
    <w:rsid w:val="006A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D91"/>
  </w:style>
  <w:style w:type="character" w:customStyle="1" w:styleId="Heading1Char">
    <w:name w:val="Heading 1 Char"/>
    <w:basedOn w:val="DefaultParagraphFont"/>
    <w:link w:val="Heading1"/>
    <w:rsid w:val="004D3E5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4D3E5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1162-89FE-4EF9-BA48-D3B66014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Robnett</dc:creator>
  <cp:lastModifiedBy>ImtiazAhamed</cp:lastModifiedBy>
  <cp:revision>96</cp:revision>
  <dcterms:created xsi:type="dcterms:W3CDTF">2016-02-25T16:28:00Z</dcterms:created>
  <dcterms:modified xsi:type="dcterms:W3CDTF">2022-12-12T21:45:00Z</dcterms:modified>
</cp:coreProperties>
</file>